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145F4" w14:textId="4FD2F5DD" w:rsidR="00EC2E67" w:rsidRPr="00EC2E67" w:rsidRDefault="00EC2E67" w:rsidP="00EC2E67">
      <w:pPr>
        <w:pStyle w:val="BodyText"/>
        <w:rPr>
          <w:rFonts w:ascii="Times New Roman"/>
          <w:sz w:val="20"/>
        </w:rPr>
      </w:pPr>
      <w:r w:rsidRPr="00EC2E67">
        <w:rPr>
          <w:rFonts w:ascii="Times New Roman"/>
          <w:noProof/>
          <w:sz w:val="20"/>
        </w:rPr>
        <w:drawing>
          <wp:inline distT="0" distB="0" distL="0" distR="0" wp14:anchorId="21346CDE" wp14:editId="25F6734A">
            <wp:extent cx="6324600" cy="2378710"/>
            <wp:effectExtent l="0" t="0" r="0" b="2540"/>
            <wp:docPr id="1063815619" name="Picture 2" descr="A white building with a bridge and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15619" name="Picture 2" descr="A white building with a bridge and a gard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5811" w14:textId="77777777" w:rsidR="00FE1EA5" w:rsidRDefault="00FE1EA5">
      <w:pPr>
        <w:pStyle w:val="BodyText"/>
        <w:rPr>
          <w:rFonts w:ascii="Times New Roman"/>
          <w:b w:val="0"/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0"/>
        <w:gridCol w:w="7184"/>
      </w:tblGrid>
      <w:tr w:rsidR="00FE1EA5" w14:paraId="264FC23E" w14:textId="77777777">
        <w:trPr>
          <w:trHeight w:val="424"/>
        </w:trPr>
        <w:tc>
          <w:tcPr>
            <w:tcW w:w="2530" w:type="dxa"/>
          </w:tcPr>
          <w:p w14:paraId="60971D38" w14:textId="4726051A" w:rsidR="00FE1EA5" w:rsidRPr="00EC7FC5" w:rsidRDefault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8:00 am</w:t>
            </w:r>
          </w:p>
        </w:tc>
        <w:tc>
          <w:tcPr>
            <w:tcW w:w="7184" w:type="dxa"/>
          </w:tcPr>
          <w:p w14:paraId="2048DCEA" w14:textId="77777777" w:rsidR="00FE1EA5" w:rsidRPr="00EC7FC5" w:rsidRDefault="00000000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Registration and Breakfast with Exhibitors</w:t>
            </w:r>
          </w:p>
        </w:tc>
      </w:tr>
      <w:tr w:rsidR="00FE1EA5" w14:paraId="51B4387F" w14:textId="77777777" w:rsidTr="00EC2E67">
        <w:trPr>
          <w:trHeight w:val="784"/>
        </w:trPr>
        <w:tc>
          <w:tcPr>
            <w:tcW w:w="2530" w:type="dxa"/>
          </w:tcPr>
          <w:p w14:paraId="5CDB9811" w14:textId="7E0C87E3" w:rsidR="00FE1EA5" w:rsidRPr="00EC7FC5" w:rsidRDefault="00EC2E67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8:</w:t>
            </w:r>
            <w:r w:rsidR="00EC7FC5" w:rsidRPr="00EC7FC5">
              <w:rPr>
                <w:color w:val="333333"/>
                <w:sz w:val="24"/>
              </w:rPr>
              <w:t>45 am</w:t>
            </w:r>
          </w:p>
        </w:tc>
        <w:tc>
          <w:tcPr>
            <w:tcW w:w="7184" w:type="dxa"/>
          </w:tcPr>
          <w:p w14:paraId="07CCAA76" w14:textId="64AB7099" w:rsidR="00FE1EA5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"Opening the Barrel: Setting the Tone for a Full-Bodied Discussion"</w:t>
            </w:r>
            <w:r w:rsidRPr="00EC7FC5">
              <w:rPr>
                <w:color w:val="333333"/>
                <w:sz w:val="24"/>
              </w:rPr>
              <w:br/>
              <w:t>Linda DeAngelis, President NJSOM</w:t>
            </w:r>
          </w:p>
        </w:tc>
      </w:tr>
      <w:tr w:rsidR="00610DFB" w14:paraId="3D07B0CD" w14:textId="77777777" w:rsidTr="00EC7FC5">
        <w:trPr>
          <w:trHeight w:val="424"/>
        </w:trPr>
        <w:tc>
          <w:tcPr>
            <w:tcW w:w="2530" w:type="dxa"/>
          </w:tcPr>
          <w:p w14:paraId="09E852DB" w14:textId="06110DBC" w:rsidR="00610DFB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9:00</w:t>
            </w:r>
            <w:r w:rsidR="00EC7FC5" w:rsidRPr="00EC7FC5">
              <w:rPr>
                <w:color w:val="333333"/>
                <w:sz w:val="24"/>
              </w:rPr>
              <w:t xml:space="preserve"> </w:t>
            </w:r>
            <w:r w:rsidRPr="00EC7FC5">
              <w:rPr>
                <w:color w:val="333333"/>
                <w:sz w:val="24"/>
              </w:rPr>
              <w:t>am</w:t>
            </w:r>
          </w:p>
        </w:tc>
        <w:tc>
          <w:tcPr>
            <w:tcW w:w="7184" w:type="dxa"/>
          </w:tcPr>
          <w:p w14:paraId="36CEF7DD" w14:textId="10B70605" w:rsidR="00610DFB" w:rsidRPr="00EC7FC5" w:rsidRDefault="00EC7FC5" w:rsidP="00610DFB">
            <w:pPr>
              <w:pStyle w:val="TableParagraph"/>
              <w:spacing w:line="272" w:lineRule="exact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“</w:t>
            </w:r>
            <w:r w:rsidR="00EC2E67" w:rsidRPr="00EC7FC5">
              <w:rPr>
                <w:color w:val="333333"/>
                <w:sz w:val="24"/>
              </w:rPr>
              <w:t xml:space="preserve">Ted Okon </w:t>
            </w:r>
            <w:r w:rsidRPr="00EC7FC5">
              <w:rPr>
                <w:color w:val="333333"/>
                <w:sz w:val="24"/>
              </w:rPr>
              <w:t>Uncorked: Federal Updates for Community Oncology”</w:t>
            </w:r>
          </w:p>
        </w:tc>
      </w:tr>
      <w:tr w:rsidR="00610DFB" w14:paraId="48670517" w14:textId="77777777" w:rsidTr="00EC2E67">
        <w:trPr>
          <w:trHeight w:val="577"/>
        </w:trPr>
        <w:tc>
          <w:tcPr>
            <w:tcW w:w="2530" w:type="dxa"/>
          </w:tcPr>
          <w:p w14:paraId="6B16884E" w14:textId="574897F3" w:rsidR="00610DFB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10:00</w:t>
            </w:r>
            <w:r w:rsidR="00EC7FC5" w:rsidRPr="00EC7FC5">
              <w:rPr>
                <w:color w:val="333333"/>
                <w:sz w:val="24"/>
              </w:rPr>
              <w:t xml:space="preserve"> </w:t>
            </w:r>
            <w:r w:rsidRPr="00EC7FC5">
              <w:rPr>
                <w:color w:val="333333"/>
                <w:sz w:val="24"/>
              </w:rPr>
              <w:t>am</w:t>
            </w:r>
          </w:p>
        </w:tc>
        <w:tc>
          <w:tcPr>
            <w:tcW w:w="7184" w:type="dxa"/>
          </w:tcPr>
          <w:p w14:paraId="5A77FE63" w14:textId="35E062B7" w:rsidR="00610DFB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“Fermenting Frustration or Aged Opportunity? The Payer Landscape in NJ”, Paul Welchans, Principal-</w:t>
            </w:r>
            <w:proofErr w:type="spellStart"/>
            <w:r w:rsidRPr="00EC7FC5">
              <w:rPr>
                <w:color w:val="333333"/>
                <w:sz w:val="24"/>
              </w:rPr>
              <w:t>onPoint</w:t>
            </w:r>
            <w:proofErr w:type="spellEnd"/>
            <w:r w:rsidRPr="00EC7FC5">
              <w:rPr>
                <w:color w:val="333333"/>
                <w:sz w:val="24"/>
              </w:rPr>
              <w:t xml:space="preserve"> Oncology</w:t>
            </w:r>
          </w:p>
        </w:tc>
      </w:tr>
      <w:tr w:rsidR="00610DFB" w14:paraId="12B21DA2" w14:textId="77777777" w:rsidTr="00EC7FC5">
        <w:trPr>
          <w:trHeight w:val="397"/>
        </w:trPr>
        <w:tc>
          <w:tcPr>
            <w:tcW w:w="2530" w:type="dxa"/>
          </w:tcPr>
          <w:p w14:paraId="333B1720" w14:textId="30D08968" w:rsidR="00610DFB" w:rsidRPr="00EC7FC5" w:rsidRDefault="00EC2E67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10:</w:t>
            </w:r>
            <w:r w:rsidR="00EC7FC5" w:rsidRPr="00EC7FC5">
              <w:rPr>
                <w:color w:val="333333"/>
                <w:sz w:val="24"/>
              </w:rPr>
              <w:t>45 am</w:t>
            </w:r>
          </w:p>
        </w:tc>
        <w:tc>
          <w:tcPr>
            <w:tcW w:w="7184" w:type="dxa"/>
          </w:tcPr>
          <w:p w14:paraId="62347D27" w14:textId="0DC48276" w:rsidR="00610DFB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Break</w:t>
            </w:r>
            <w:r w:rsidR="00EC2E67" w:rsidRPr="00EC7FC5">
              <w:rPr>
                <w:color w:val="333333"/>
                <w:sz w:val="24"/>
              </w:rPr>
              <w:t xml:space="preserve"> </w:t>
            </w:r>
          </w:p>
        </w:tc>
      </w:tr>
      <w:tr w:rsidR="00610DFB" w14:paraId="26D649BD" w14:textId="77777777">
        <w:trPr>
          <w:trHeight w:val="813"/>
        </w:trPr>
        <w:tc>
          <w:tcPr>
            <w:tcW w:w="2530" w:type="dxa"/>
          </w:tcPr>
          <w:p w14:paraId="562788DF" w14:textId="564B53C0" w:rsidR="00610DFB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11:15</w:t>
            </w:r>
            <w:r w:rsidR="00EC7FC5" w:rsidRPr="00EC7FC5">
              <w:rPr>
                <w:color w:val="333333"/>
                <w:sz w:val="24"/>
              </w:rPr>
              <w:t xml:space="preserve"> </w:t>
            </w:r>
            <w:r w:rsidRPr="00EC7FC5">
              <w:rPr>
                <w:color w:val="333333"/>
                <w:sz w:val="24"/>
              </w:rPr>
              <w:t>am</w:t>
            </w:r>
          </w:p>
        </w:tc>
        <w:tc>
          <w:tcPr>
            <w:tcW w:w="7184" w:type="dxa"/>
          </w:tcPr>
          <w:p w14:paraId="7EAE7AFF" w14:textId="77777777" w:rsidR="00EC7FC5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“Fine-Tuning the Financial Blend: Principal Care Management in Oncology Billing” ASCO</w:t>
            </w:r>
          </w:p>
          <w:p w14:paraId="06B19222" w14:textId="77777777" w:rsidR="00EC7FC5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Allison M. Hirschorn</w:t>
            </w:r>
          </w:p>
          <w:p w14:paraId="653FE1D0" w14:textId="77777777" w:rsidR="00EC7FC5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Director, Coverage and Reimbursement, American Society of Clinical Oncology (ASCO)</w:t>
            </w:r>
          </w:p>
          <w:p w14:paraId="45BAB59E" w14:textId="5304EABF" w:rsidR="00610DFB" w:rsidRPr="00EC7FC5" w:rsidRDefault="00610DFB" w:rsidP="00610DFB">
            <w:pPr>
              <w:pStyle w:val="TableParagraph"/>
              <w:rPr>
                <w:color w:val="333333"/>
                <w:sz w:val="24"/>
              </w:rPr>
            </w:pPr>
          </w:p>
        </w:tc>
      </w:tr>
      <w:tr w:rsidR="00610DFB" w14:paraId="290990D9" w14:textId="77777777" w:rsidTr="00EC7FC5">
        <w:trPr>
          <w:trHeight w:val="379"/>
        </w:trPr>
        <w:tc>
          <w:tcPr>
            <w:tcW w:w="2530" w:type="dxa"/>
          </w:tcPr>
          <w:p w14:paraId="05D79B40" w14:textId="53DB17DA" w:rsidR="00610DFB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12:</w:t>
            </w:r>
            <w:r w:rsidR="00EC7FC5" w:rsidRPr="00EC7FC5">
              <w:rPr>
                <w:color w:val="333333"/>
                <w:sz w:val="24"/>
              </w:rPr>
              <w:t>00</w:t>
            </w:r>
            <w:r w:rsidRPr="00EC7FC5">
              <w:rPr>
                <w:color w:val="333333"/>
                <w:sz w:val="24"/>
              </w:rPr>
              <w:t xml:space="preserve"> pm</w:t>
            </w:r>
          </w:p>
        </w:tc>
        <w:tc>
          <w:tcPr>
            <w:tcW w:w="7184" w:type="dxa"/>
          </w:tcPr>
          <w:p w14:paraId="3B6B9395" w14:textId="6A3BEDA9" w:rsidR="001B7BFC" w:rsidRPr="00EC7FC5" w:rsidRDefault="00EC2E67" w:rsidP="00610DFB">
            <w:pPr>
              <w:pStyle w:val="TableParagraph"/>
              <w:spacing w:line="259" w:lineRule="auto"/>
              <w:ind w:left="73" w:right="2085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Lunch</w:t>
            </w:r>
          </w:p>
        </w:tc>
      </w:tr>
      <w:tr w:rsidR="00EC2E67" w14:paraId="1DD2865D" w14:textId="77777777" w:rsidTr="00610DFB">
        <w:trPr>
          <w:trHeight w:val="694"/>
        </w:trPr>
        <w:tc>
          <w:tcPr>
            <w:tcW w:w="2530" w:type="dxa"/>
          </w:tcPr>
          <w:p w14:paraId="66CAB6E4" w14:textId="5F73B357" w:rsidR="00EC2E67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</w:t>
            </w:r>
            <w:r w:rsidR="00EC7FC5" w:rsidRPr="00EC7FC5">
              <w:rPr>
                <w:color w:val="333333"/>
                <w:sz w:val="24"/>
              </w:rPr>
              <w:t>2</w:t>
            </w:r>
            <w:r w:rsidRPr="00EC7FC5">
              <w:rPr>
                <w:color w:val="333333"/>
                <w:sz w:val="24"/>
              </w:rPr>
              <w:t>:45 pm</w:t>
            </w:r>
          </w:p>
        </w:tc>
        <w:tc>
          <w:tcPr>
            <w:tcW w:w="7184" w:type="dxa"/>
          </w:tcPr>
          <w:p w14:paraId="09D725D1" w14:textId="2B10EAE4" w:rsidR="00EC2E67" w:rsidRPr="00EC7FC5" w:rsidRDefault="00EC7FC5" w:rsidP="00EC7FC5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333333"/>
              </w:rPr>
            </w:pPr>
            <w:r w:rsidRPr="00EC7FC5">
              <w:rPr>
                <w:rFonts w:ascii="Arial" w:eastAsia="Arial" w:hAnsi="Arial" w:cs="Arial"/>
                <w:color w:val="333333"/>
                <w:szCs w:val="22"/>
              </w:rPr>
              <w:t>“Barrels &amp; Benchmarks: ASCO’s 2025 Outlook on Community Oncology”</w:t>
            </w:r>
            <w:r>
              <w:rPr>
                <w:rFonts w:ascii="Arial" w:eastAsia="Arial" w:hAnsi="Arial" w:cs="Arial"/>
                <w:color w:val="333333"/>
                <w:szCs w:val="22"/>
              </w:rPr>
              <w:br/>
            </w:r>
            <w:r w:rsidRPr="00EC7FC5">
              <w:rPr>
                <w:rFonts w:ascii="Arial" w:eastAsia="Arial" w:hAnsi="Arial" w:cs="Arial"/>
                <w:b/>
                <w:bCs/>
                <w:szCs w:val="22"/>
              </w:rPr>
              <w:t>Allison M. Hirschorn</w:t>
            </w:r>
            <w:r>
              <w:rPr>
                <w:rFonts w:ascii="Arial" w:eastAsia="Arial" w:hAnsi="Arial" w:cs="Arial"/>
                <w:b/>
                <w:bCs/>
                <w:szCs w:val="22"/>
              </w:rPr>
              <w:br/>
            </w:r>
            <w:r w:rsidRPr="00EC7FC5">
              <w:rPr>
                <w:rFonts w:ascii="Arial" w:hAnsi="Arial" w:cs="Arial"/>
                <w:i/>
                <w:iCs/>
                <w:szCs w:val="22"/>
              </w:rPr>
              <w:t>Director, Coverage and Reimbursement,</w:t>
            </w:r>
            <w:r w:rsidRPr="00EC7FC5">
              <w:rPr>
                <w:rFonts w:ascii="Arial" w:hAnsi="Arial" w:cs="Arial"/>
                <w:color w:val="333333"/>
                <w:szCs w:val="22"/>
              </w:rPr>
              <w:t> American Society of Clinical Oncology (ASCO)</w:t>
            </w:r>
          </w:p>
        </w:tc>
      </w:tr>
      <w:tr w:rsidR="00EC2E67" w14:paraId="45B96BB9" w14:textId="77777777" w:rsidTr="00610DFB">
        <w:trPr>
          <w:trHeight w:val="694"/>
        </w:trPr>
        <w:tc>
          <w:tcPr>
            <w:tcW w:w="2530" w:type="dxa"/>
          </w:tcPr>
          <w:p w14:paraId="278A2793" w14:textId="2867C8F4" w:rsidR="00EC2E67" w:rsidRPr="00EC7FC5" w:rsidRDefault="00EC7FC5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</w:t>
            </w:r>
            <w:r w:rsidR="00EC2E67" w:rsidRPr="00EC7FC5">
              <w:rPr>
                <w:color w:val="333333"/>
                <w:sz w:val="24"/>
              </w:rPr>
              <w:t>:30 pm</w:t>
            </w:r>
          </w:p>
        </w:tc>
        <w:tc>
          <w:tcPr>
            <w:tcW w:w="7184" w:type="dxa"/>
          </w:tcPr>
          <w:p w14:paraId="7A1D00ED" w14:textId="6F5F02F7" w:rsidR="00EC2E67" w:rsidRPr="00EC7FC5" w:rsidRDefault="00EC7FC5" w:rsidP="00610DFB">
            <w:pPr>
              <w:pStyle w:val="TableParagraph"/>
              <w:spacing w:line="259" w:lineRule="auto"/>
              <w:ind w:left="73" w:right="2085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“From Policy to Practice: How the IRA Will Reshape Oncology Medication Access”</w:t>
            </w:r>
            <w:r w:rsidRPr="00EC7FC5">
              <w:rPr>
                <w:color w:val="333333"/>
                <w:sz w:val="24"/>
              </w:rPr>
              <w:br/>
              <w:t>Understanding the Role of Medicare Fair Pricing (MFP) in Community Oncology, Moderator: Michelle Weiss, Eileen P</w:t>
            </w:r>
            <w:r w:rsidR="00DB7985">
              <w:rPr>
                <w:color w:val="333333"/>
                <w:sz w:val="24"/>
              </w:rPr>
              <w:t>e</w:t>
            </w:r>
            <w:r w:rsidRPr="00EC7FC5">
              <w:rPr>
                <w:color w:val="333333"/>
                <w:sz w:val="24"/>
              </w:rPr>
              <w:t xml:space="preserve">ng, Astera Oncology, Jonas Congelli, RPh, NCODA, Venus </w:t>
            </w:r>
            <w:proofErr w:type="spellStart"/>
            <w:r w:rsidRPr="00EC7FC5">
              <w:rPr>
                <w:color w:val="333333"/>
                <w:sz w:val="24"/>
              </w:rPr>
              <w:t>Mignogni</w:t>
            </w:r>
            <w:proofErr w:type="spellEnd"/>
            <w:r w:rsidRPr="00EC7FC5">
              <w:rPr>
                <w:color w:val="333333"/>
                <w:sz w:val="24"/>
              </w:rPr>
              <w:t xml:space="preserve"> RPh, Summit Health</w:t>
            </w:r>
          </w:p>
        </w:tc>
      </w:tr>
      <w:tr w:rsidR="00EC2E67" w14:paraId="1FF6FB3B" w14:textId="77777777" w:rsidTr="00EC7FC5">
        <w:trPr>
          <w:trHeight w:val="352"/>
        </w:trPr>
        <w:tc>
          <w:tcPr>
            <w:tcW w:w="2530" w:type="dxa"/>
          </w:tcPr>
          <w:p w14:paraId="6907E78B" w14:textId="42C6697A" w:rsidR="00EC2E67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3:00</w:t>
            </w:r>
            <w:r w:rsidR="00EC7FC5" w:rsidRPr="00EC7FC5">
              <w:rPr>
                <w:color w:val="333333"/>
                <w:sz w:val="24"/>
              </w:rPr>
              <w:t xml:space="preserve"> </w:t>
            </w:r>
            <w:r w:rsidRPr="00EC7FC5">
              <w:rPr>
                <w:color w:val="333333"/>
                <w:sz w:val="24"/>
              </w:rPr>
              <w:t>p</w:t>
            </w:r>
            <w:r w:rsidR="00EC7FC5" w:rsidRPr="00EC7FC5">
              <w:rPr>
                <w:color w:val="333333"/>
                <w:sz w:val="24"/>
              </w:rPr>
              <w:t>m</w:t>
            </w:r>
          </w:p>
        </w:tc>
        <w:tc>
          <w:tcPr>
            <w:tcW w:w="7184" w:type="dxa"/>
          </w:tcPr>
          <w:p w14:paraId="6F4AB462" w14:textId="055C9971" w:rsidR="00EC2E67" w:rsidRPr="00EC7FC5" w:rsidRDefault="00EC7FC5" w:rsidP="00EC7FC5">
            <w:pPr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"Final Pour: Key Takeaways &amp; Closing Thoughts"</w:t>
            </w:r>
          </w:p>
        </w:tc>
      </w:tr>
    </w:tbl>
    <w:p w14:paraId="7F0DD643" w14:textId="010D02B1" w:rsidR="00FE1EA5" w:rsidRDefault="00000000">
      <w:pPr>
        <w:pStyle w:val="BodyText"/>
        <w:ind w:right="357"/>
        <w:jc w:val="center"/>
      </w:pPr>
      <w:r>
        <w:rPr>
          <w:color w:val="333333"/>
        </w:rPr>
        <w:t>Speakers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Topics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subject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change</w:t>
      </w:r>
    </w:p>
    <w:sectPr w:rsidR="00FE1EA5" w:rsidSect="006E074E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1EA5"/>
    <w:rsid w:val="001B7BFC"/>
    <w:rsid w:val="002614AE"/>
    <w:rsid w:val="00275C78"/>
    <w:rsid w:val="002F0A90"/>
    <w:rsid w:val="002F420D"/>
    <w:rsid w:val="00311CD2"/>
    <w:rsid w:val="004758C5"/>
    <w:rsid w:val="00594976"/>
    <w:rsid w:val="00610DFB"/>
    <w:rsid w:val="006914C3"/>
    <w:rsid w:val="006C3F47"/>
    <w:rsid w:val="006E074E"/>
    <w:rsid w:val="007E2BD4"/>
    <w:rsid w:val="009C6E55"/>
    <w:rsid w:val="00A32F4C"/>
    <w:rsid w:val="00B0219E"/>
    <w:rsid w:val="00D81070"/>
    <w:rsid w:val="00D845C9"/>
    <w:rsid w:val="00DB7985"/>
    <w:rsid w:val="00EC2E67"/>
    <w:rsid w:val="00EC7FC5"/>
    <w:rsid w:val="00FE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77099"/>
  <w15:docId w15:val="{5EB71A1D-C7FF-46F0-AAAC-929E52ED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5C9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"/>
    </w:pPr>
  </w:style>
  <w:style w:type="paragraph" w:styleId="NormalWeb">
    <w:name w:val="Normal (Web)"/>
    <w:basedOn w:val="Normal"/>
    <w:uiPriority w:val="99"/>
    <w:unhideWhenUsed/>
    <w:rsid w:val="00EC7FC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C7FC5"/>
    <w:rPr>
      <w:b/>
      <w:bCs/>
    </w:rPr>
  </w:style>
  <w:style w:type="character" w:styleId="Emphasis">
    <w:name w:val="Emphasis"/>
    <w:basedOn w:val="DefaultParagraphFont"/>
    <w:uiPriority w:val="20"/>
    <w:qFormat/>
    <w:rsid w:val="00EC7F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1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Janelle Enderle</dc:creator>
  <dc:description/>
  <cp:lastModifiedBy>Janelle Enderle</cp:lastModifiedBy>
  <cp:revision>13</cp:revision>
  <dcterms:created xsi:type="dcterms:W3CDTF">2025-02-24T23:31:00Z</dcterms:created>
  <dcterms:modified xsi:type="dcterms:W3CDTF">2025-08-26T19:20:00Z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2025-02-24T00:00:00Z</vt:filetime>
  </property>
  <property fmtid="{D5CDD505-2E9C-101B-9397-08002B2CF9AE}" pid="5" name="Producer">
    <vt:lpwstr>Adobe PDF Library 24.3.212</vt:lpwstr>
  </property>
  <property fmtid="{D5CDD505-2E9C-101B-9397-08002B2CF9AE}" pid="6" name="SourceModified">
    <vt:lpwstr>D:20240828155506</vt:lpwstr>
  </property>
</Properties>
</file>